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BA708" w14:textId="7768D013" w:rsidR="00EC08B9" w:rsidRPr="00EC08B9" w:rsidRDefault="00EC08B9" w:rsidP="00C3332D">
      <w:pPr>
        <w:jc w:val="center"/>
        <w:rPr>
          <w:b/>
          <w:bCs/>
        </w:rPr>
      </w:pPr>
      <w:proofErr w:type="spellStart"/>
      <w:r w:rsidRPr="00EC08B9">
        <w:rPr>
          <w:b/>
          <w:bCs/>
        </w:rPr>
        <w:t>STWiORB</w:t>
      </w:r>
      <w:proofErr w:type="spellEnd"/>
      <w:r w:rsidRPr="00EC08B9">
        <w:rPr>
          <w:b/>
          <w:bCs/>
        </w:rPr>
        <w:t xml:space="preserve"> (SPECYFIKACJA TECHNICZNA WYKONANIA I ODBIORU ROBÓT BUDOWLANYCH)</w:t>
      </w:r>
    </w:p>
    <w:p w14:paraId="0143D532" w14:textId="12B8F408" w:rsidR="00EC08B9" w:rsidRPr="00EC08B9" w:rsidRDefault="00EC08B9" w:rsidP="00EC08B9">
      <w:r w:rsidRPr="00EC08B9">
        <w:rPr>
          <w:b/>
          <w:bCs/>
        </w:rPr>
        <w:t>1. WSTĘP</w:t>
      </w:r>
      <w:r w:rsidRPr="00EC08B9">
        <w:br/>
        <w:t>1.1. Przedmiotem niniejszej specyfikacji (</w:t>
      </w:r>
      <w:proofErr w:type="spellStart"/>
      <w:r w:rsidRPr="00EC08B9">
        <w:t>STWiORB</w:t>
      </w:r>
      <w:proofErr w:type="spellEnd"/>
      <w:r w:rsidRPr="00EC08B9">
        <w:t>) są wymagania dotyczące wykonania i odbioru robót związanych z awaryjną naprawą punktową kanalizacji deszczowej DN 600 w pasie drogowym ul. 1 Maja w Żyrardowie.</w:t>
      </w:r>
      <w:r w:rsidRPr="00EC08B9">
        <w:br/>
        <w:t>1.2. Zakres robót obejmuje wymianę uszkodzonego odcinka rury betonowej na rurę z tworzywa sztucznego wraz z odtworzeniem nawierzchni jezdni.</w:t>
      </w:r>
    </w:p>
    <w:p w14:paraId="53E9A2A1" w14:textId="66180775" w:rsidR="00EC08B9" w:rsidRDefault="00EC08B9" w:rsidP="00EC08B9">
      <w:r w:rsidRPr="00EC08B9">
        <w:rPr>
          <w:b/>
          <w:bCs/>
        </w:rPr>
        <w:t>2. MATERIAŁY</w:t>
      </w:r>
    </w:p>
    <w:p w14:paraId="2256993C" w14:textId="3AFE96BD" w:rsidR="00EC08B9" w:rsidRPr="00EC08B9" w:rsidRDefault="00EC08B9" w:rsidP="00EC08B9">
      <w:pPr>
        <w:jc w:val="both"/>
      </w:pPr>
      <w:r w:rsidRPr="00EC08B9">
        <w:t>2.1. Rury: Rury kanalizacyjne z PVC-U (polichlorek winylu) lub PP (polipropylen) strukturalne, o średnicy nominalnej DN 600 mm, klasa sztywności obwodowej min. SN8 (przystosowane do obciążeń drogowych).</w:t>
      </w:r>
      <w:r w:rsidRPr="00EC08B9">
        <w:br/>
        <w:t xml:space="preserve">2.2. Złącza naprawcze (Kluczowy element): Do połączenia nowej rury z tworzywa z istniejącą rurą betonową należy zastosować elastyczne nasuwki adaptacyjne (łączniki kompensacyjne) wykonane z EPDM z opaskami zaciskowymi ze stali nierdzewnej (np. typ </w:t>
      </w:r>
      <w:proofErr w:type="spellStart"/>
      <w:r w:rsidRPr="00EC08B9">
        <w:t>Flex-Seal</w:t>
      </w:r>
      <w:proofErr w:type="spellEnd"/>
      <w:r w:rsidRPr="00EC08B9">
        <w:t xml:space="preserve">, </w:t>
      </w:r>
      <w:proofErr w:type="spellStart"/>
      <w:r w:rsidRPr="00EC08B9">
        <w:t>Fernco</w:t>
      </w:r>
      <w:proofErr w:type="spellEnd"/>
      <w:r w:rsidRPr="00EC08B9">
        <w:t xml:space="preserve"> lub równoważne). Złącza muszą posiadać aprobatę techniczną i gwarantować szczelność połączenia przy różnicy średnic zewnętrznych rur. Niedopuszczalne jest </w:t>
      </w:r>
      <w:proofErr w:type="spellStart"/>
      <w:r w:rsidRPr="00EC08B9">
        <w:t>łaczenie</w:t>
      </w:r>
      <w:proofErr w:type="spellEnd"/>
      <w:r w:rsidRPr="00EC08B9">
        <w:t xml:space="preserve"> rur "na styk" i obetonowywanie.</w:t>
      </w:r>
      <w:r w:rsidRPr="00EC08B9">
        <w:br/>
        <w:t>2.3. Materiały drogowe: Piasek średnioziarnisty na podsypkę i zasypkę, kruszywo łamane 0/31,5 mm na podbudowę, mieszanka mineralno-asfaltowa na gorąco (AC 16 W, AC 11 S) zgodna z normą PN-EN 13108-1.</w:t>
      </w:r>
    </w:p>
    <w:p w14:paraId="1BC5A072" w14:textId="77777777" w:rsidR="00EC08B9" w:rsidRDefault="00EC08B9" w:rsidP="00EC08B9">
      <w:pPr>
        <w:rPr>
          <w:b/>
          <w:bCs/>
        </w:rPr>
      </w:pPr>
      <w:r w:rsidRPr="00EC08B9">
        <w:rPr>
          <w:b/>
          <w:bCs/>
        </w:rPr>
        <w:t>3. SPRZĘT I TRANSPORT</w:t>
      </w:r>
    </w:p>
    <w:p w14:paraId="6F4163DE" w14:textId="07A901C5" w:rsidR="00EC08B9" w:rsidRPr="00EC08B9" w:rsidRDefault="00EC08B9" w:rsidP="00EC08B9">
      <w:pPr>
        <w:jc w:val="both"/>
      </w:pPr>
      <w:r w:rsidRPr="00EC08B9">
        <w:t>3.1. Wykonawca zobowiązany jest do użycia sprzętu gwarantującego dotrzymanie parametrów jakościowych, w tym:</w:t>
      </w:r>
    </w:p>
    <w:p w14:paraId="3AA13585" w14:textId="77777777" w:rsidR="00EC08B9" w:rsidRPr="00EC08B9" w:rsidRDefault="00EC08B9" w:rsidP="00EC08B9">
      <w:pPr>
        <w:numPr>
          <w:ilvl w:val="0"/>
          <w:numId w:val="1"/>
        </w:numPr>
        <w:jc w:val="both"/>
      </w:pPr>
      <w:r w:rsidRPr="00EC08B9">
        <w:t>Koparki kołowej (ze względu na nawierzchnię asfaltową),</w:t>
      </w:r>
    </w:p>
    <w:p w14:paraId="558F06E8" w14:textId="77777777" w:rsidR="00EC08B9" w:rsidRPr="00EC08B9" w:rsidRDefault="00EC08B9" w:rsidP="00EC08B9">
      <w:pPr>
        <w:numPr>
          <w:ilvl w:val="0"/>
          <w:numId w:val="1"/>
        </w:numPr>
        <w:jc w:val="both"/>
      </w:pPr>
      <w:r w:rsidRPr="00EC08B9">
        <w:t>Piły do cięcia nawierzchni bitumicznych,</w:t>
      </w:r>
    </w:p>
    <w:p w14:paraId="6B08D915" w14:textId="77777777" w:rsidR="00EC08B9" w:rsidRPr="00EC08B9" w:rsidRDefault="00EC08B9" w:rsidP="00EC08B9">
      <w:pPr>
        <w:numPr>
          <w:ilvl w:val="0"/>
          <w:numId w:val="1"/>
        </w:numPr>
        <w:jc w:val="both"/>
      </w:pPr>
      <w:r w:rsidRPr="00EC08B9">
        <w:t>Zagęszczarek płytowych lub ubijaków wibracyjnych o odpowiedniej energii uderzenia,</w:t>
      </w:r>
    </w:p>
    <w:p w14:paraId="4D7CDC8F" w14:textId="77777777" w:rsidR="00EC08B9" w:rsidRPr="00EC08B9" w:rsidRDefault="00EC08B9" w:rsidP="00EC08B9">
      <w:pPr>
        <w:numPr>
          <w:ilvl w:val="0"/>
          <w:numId w:val="1"/>
        </w:numPr>
        <w:jc w:val="both"/>
      </w:pPr>
      <w:r w:rsidRPr="00EC08B9">
        <w:t xml:space="preserve">Szalunków systemowych do zabezpieczenia ścian wykopu (typ </w:t>
      </w:r>
      <w:proofErr w:type="spellStart"/>
      <w:r w:rsidRPr="00EC08B9">
        <w:t>box</w:t>
      </w:r>
      <w:proofErr w:type="spellEnd"/>
      <w:r w:rsidRPr="00EC08B9">
        <w:t xml:space="preserve"> lub lekkie szalunki aluminiowe).</w:t>
      </w:r>
    </w:p>
    <w:p w14:paraId="46D10F97" w14:textId="77777777" w:rsidR="00EC08B9" w:rsidRDefault="00EC08B9" w:rsidP="00EC08B9">
      <w:pPr>
        <w:rPr>
          <w:b/>
          <w:bCs/>
        </w:rPr>
      </w:pPr>
      <w:r w:rsidRPr="00EC08B9">
        <w:rPr>
          <w:b/>
          <w:bCs/>
        </w:rPr>
        <w:t>4. WYKONANIE ROBÓT</w:t>
      </w:r>
    </w:p>
    <w:p w14:paraId="4A26435F" w14:textId="5D4FEB72" w:rsidR="00EC08B9" w:rsidRPr="00EC08B9" w:rsidRDefault="00EC08B9" w:rsidP="00EC08B9">
      <w:r w:rsidRPr="00EC08B9">
        <w:t>4.1. Organizacja ruchu: Roboty mogą rozpocząć się po zatwierdzeniu projektu organizacji ruchu i ustawieniu oznakowania. Należy zapewnić ciągłość ruchu kołowego (np. wahadło).</w:t>
      </w:r>
      <w:r w:rsidRPr="00EC08B9">
        <w:br/>
        <w:t xml:space="preserve">4.2. Roboty ziemne: Wykop należy wykonać jako </w:t>
      </w:r>
      <w:proofErr w:type="spellStart"/>
      <w:r w:rsidRPr="00EC08B9">
        <w:t>wąskoprzestrzenny</w:t>
      </w:r>
      <w:proofErr w:type="spellEnd"/>
      <w:r w:rsidRPr="00EC08B9">
        <w:t xml:space="preserve">, o ścianach pionowych, bezwzględnie szalowany od głębokości 1,0 m. Dno wykopu należy </w:t>
      </w:r>
      <w:r w:rsidRPr="00EC08B9">
        <w:lastRenderedPageBreak/>
        <w:t>wyrównać i zagęścić.</w:t>
      </w:r>
      <w:r w:rsidRPr="00EC08B9">
        <w:br/>
        <w:t>4.3. Montaż: Uszkodzony odcinek rury wyciąć piłą (nie kuć młotem pneumatycznym, aby nie uszkodzić dalszej części rurociągu). Nowy odcinek wpasować i połączyć szczelnie za pomocą nasuwek.</w:t>
      </w:r>
      <w:r w:rsidRPr="00EC08B9">
        <w:br/>
        <w:t xml:space="preserve">4.4. Zasypka: Zasypywanie wykopu prowadzić warstwami o grubości max. 30 cm, każdą warstwę zagęszczać mechanicznie. Wskaźnik zagęszczenia gruntu </w:t>
      </w:r>
      <w:proofErr w:type="spellStart"/>
      <w:r w:rsidRPr="00EC08B9">
        <w:t>Is</w:t>
      </w:r>
      <w:proofErr w:type="spellEnd"/>
      <w:r w:rsidRPr="00EC08B9">
        <w:t xml:space="preserve"> w strefie pod jezdnią nie może być mniejszy niż 0,98.</w:t>
      </w:r>
      <w:r w:rsidRPr="00EC08B9">
        <w:br/>
        <w:t>4.5. Odtworzenie nawierzchni: Krawędzie starego asfaltu należy obciąć piłą, oczyścić i skropić emulsją. Nową nawierzchnię układać warstwowo, dbając o równość podłużną i poprzeczną z istniejącą jezdnią.</w:t>
      </w:r>
    </w:p>
    <w:p w14:paraId="38F38328" w14:textId="77777777" w:rsidR="00EC08B9" w:rsidRPr="00EC08B9" w:rsidRDefault="00EC08B9" w:rsidP="00EC08B9">
      <w:r w:rsidRPr="00EC08B9">
        <w:rPr>
          <w:b/>
          <w:bCs/>
        </w:rPr>
        <w:t>5. KONTROLA JAKOŚCI I ODBIÓR</w:t>
      </w:r>
      <w:r w:rsidRPr="00EC08B9">
        <w:br/>
        <w:t>5.1. Odbiorowi podlegają roboty zanikające:</w:t>
      </w:r>
    </w:p>
    <w:p w14:paraId="70FB61BB" w14:textId="77777777" w:rsidR="00EC08B9" w:rsidRPr="00EC08B9" w:rsidRDefault="00EC08B9" w:rsidP="00EC08B9">
      <w:pPr>
        <w:numPr>
          <w:ilvl w:val="0"/>
          <w:numId w:val="2"/>
        </w:numPr>
      </w:pPr>
      <w:r w:rsidRPr="00EC08B9">
        <w:t>Przygotowanie podłoża pod rurę.</w:t>
      </w:r>
    </w:p>
    <w:p w14:paraId="76E138B8" w14:textId="77777777" w:rsidR="00EC08B9" w:rsidRPr="00EC08B9" w:rsidRDefault="00EC08B9" w:rsidP="00EC08B9">
      <w:pPr>
        <w:numPr>
          <w:ilvl w:val="0"/>
          <w:numId w:val="2"/>
        </w:numPr>
      </w:pPr>
      <w:r w:rsidRPr="00EC08B9">
        <w:t>Wykonanie połączenia (szczelność nasuwek) – Odbiór obligatoryjny przed zasypaniem.</w:t>
      </w:r>
    </w:p>
    <w:p w14:paraId="3949D95D" w14:textId="77777777" w:rsidR="00EC08B9" w:rsidRPr="00EC08B9" w:rsidRDefault="00EC08B9" w:rsidP="00EC08B9">
      <w:pPr>
        <w:numPr>
          <w:ilvl w:val="0"/>
          <w:numId w:val="2"/>
        </w:numPr>
      </w:pPr>
      <w:r w:rsidRPr="00EC08B9">
        <w:t>Warstwy zasypki i podbudowy (zagęszczenie).</w:t>
      </w:r>
      <w:r w:rsidRPr="00EC08B9">
        <w:br/>
        <w:t>5.2. Odbiór końcowy następuje po odtworzeniu nawierzchni i uporządkowaniu terenu.</w:t>
      </w:r>
      <w:r w:rsidRPr="00EC08B9">
        <w:br/>
        <w:t>5.3. Dokumenty do odbioru: Atesty materiałowe, karty przekazania odpadów, inwentaryzacja powykonawcza (jeśli wymagana przez Zamawiającego), oświadczenie kierownika robót o zgodności wykonania ze sztuką budowlaną.</w:t>
      </w:r>
    </w:p>
    <w:p w14:paraId="61249BA0" w14:textId="311C9F65" w:rsidR="00EC08B9" w:rsidRPr="00EC08B9" w:rsidRDefault="00EC08B9" w:rsidP="00EC08B9">
      <w:r w:rsidRPr="00EC08B9">
        <w:rPr>
          <w:b/>
          <w:bCs/>
        </w:rPr>
        <w:t>6. GWARANCJA</w:t>
      </w:r>
      <w:r w:rsidRPr="00EC08B9">
        <w:br/>
        <w:t>Wykonawca udziela gwarancji na wykonane roboty budowlane na okres [24] miesięcy od daty odbioru końcowego.</w:t>
      </w:r>
    </w:p>
    <w:p w14:paraId="0E6BF342" w14:textId="77777777" w:rsidR="003D11B3" w:rsidRDefault="003D11B3"/>
    <w:sectPr w:rsidR="003D11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C2CE4"/>
    <w:multiLevelType w:val="multilevel"/>
    <w:tmpl w:val="B2D8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3CE7F6D"/>
    <w:multiLevelType w:val="multilevel"/>
    <w:tmpl w:val="764CB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25855411">
    <w:abstractNumId w:val="1"/>
  </w:num>
  <w:num w:numId="2" w16cid:durableId="588075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85D"/>
    <w:rsid w:val="003D11B3"/>
    <w:rsid w:val="0044085D"/>
    <w:rsid w:val="00652321"/>
    <w:rsid w:val="00917121"/>
    <w:rsid w:val="00C3332D"/>
    <w:rsid w:val="00C4078A"/>
    <w:rsid w:val="00EC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3F23A"/>
  <w15:chartTrackingRefBased/>
  <w15:docId w15:val="{E759914C-4510-41AF-9E27-565CFDE8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408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408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408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408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08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408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408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408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408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408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408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408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408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08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408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408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408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408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408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40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408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408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408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408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408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408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408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408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4085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474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Lenczewski</dc:creator>
  <cp:keywords/>
  <dc:description/>
  <cp:lastModifiedBy>Paulina Sapińska-Szwed</cp:lastModifiedBy>
  <cp:revision>3</cp:revision>
  <dcterms:created xsi:type="dcterms:W3CDTF">2026-03-26T17:50:00Z</dcterms:created>
  <dcterms:modified xsi:type="dcterms:W3CDTF">2026-04-08T11:32:00Z</dcterms:modified>
</cp:coreProperties>
</file>